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DE392" w14:textId="0CF798B9" w:rsidR="00352DBD" w:rsidRPr="00387145" w:rsidRDefault="00883950" w:rsidP="00387145">
      <w:pPr>
        <w:spacing w:line="480" w:lineRule="auto"/>
        <w:rPr>
          <w:rFonts w:ascii="Arial" w:hAnsi="Arial" w:cs="Arial"/>
          <w:b/>
          <w:bCs/>
          <w:sz w:val="24"/>
          <w:szCs w:val="24"/>
          <w:lang w:eastAsia="en-GB"/>
        </w:rPr>
      </w:pPr>
      <w:r w:rsidRPr="00387145">
        <w:rPr>
          <w:rFonts w:ascii="Arial" w:hAnsi="Arial" w:cs="Arial"/>
          <w:b/>
          <w:bCs/>
          <w:sz w:val="24"/>
          <w:szCs w:val="24"/>
          <w:lang w:eastAsia="en-GB"/>
        </w:rPr>
        <w:t>Reflections: Evaluation of the Final Project (Unit 11) vs. the Status Document (Unit 6)</w:t>
      </w:r>
      <w:r w:rsidR="00446809" w:rsidRPr="00387145">
        <w:rPr>
          <w:rFonts w:ascii="Arial" w:hAnsi="Arial" w:cs="Arial"/>
          <w:b/>
          <w:bCs/>
          <w:sz w:val="24"/>
          <w:szCs w:val="24"/>
          <w:lang w:eastAsia="en-GB"/>
        </w:rPr>
        <w:t xml:space="preserve"> </w:t>
      </w:r>
    </w:p>
    <w:p w14:paraId="31606334" w14:textId="5641B3DF" w:rsidR="00DA60E3" w:rsidRPr="00387145" w:rsidRDefault="00DA60E3" w:rsidP="00387145">
      <w:pPr>
        <w:spacing w:line="480" w:lineRule="auto"/>
        <w:rPr>
          <w:rFonts w:ascii="Arial" w:hAnsi="Arial" w:cs="Arial"/>
          <w:b/>
          <w:bCs/>
          <w:sz w:val="24"/>
          <w:szCs w:val="24"/>
        </w:rPr>
      </w:pPr>
      <w:r w:rsidRPr="00387145">
        <w:rPr>
          <w:rFonts w:ascii="Arial" w:hAnsi="Arial" w:cs="Arial"/>
          <w:b/>
          <w:bCs/>
          <w:sz w:val="24"/>
          <w:szCs w:val="24"/>
          <w:lang w:eastAsia="en-GB"/>
        </w:rPr>
        <w:t>E-</w:t>
      </w:r>
      <w:r w:rsidR="00AF485A" w:rsidRPr="00387145">
        <w:rPr>
          <w:rFonts w:ascii="Arial" w:hAnsi="Arial" w:cs="Arial"/>
          <w:b/>
          <w:bCs/>
          <w:sz w:val="24"/>
          <w:szCs w:val="24"/>
          <w:lang w:eastAsia="en-GB"/>
        </w:rPr>
        <w:t>Portfolio</w:t>
      </w:r>
      <w:r w:rsidRPr="00387145">
        <w:rPr>
          <w:rFonts w:ascii="Arial" w:hAnsi="Arial" w:cs="Arial"/>
          <w:b/>
          <w:bCs/>
          <w:sz w:val="24"/>
          <w:szCs w:val="24"/>
          <w:lang w:eastAsia="en-GB"/>
        </w:rPr>
        <w:t xml:space="preserve"> link: </w:t>
      </w:r>
      <w:hyperlink r:id="rId7" w:history="1">
        <w:r w:rsidRPr="00387145">
          <w:rPr>
            <w:rStyle w:val="Hyperlink"/>
            <w:rFonts w:ascii="Arial" w:hAnsi="Arial" w:cs="Arial"/>
            <w:b/>
            <w:bCs/>
            <w:sz w:val="24"/>
            <w:szCs w:val="24"/>
          </w:rPr>
          <w:t>https://kaylie89.github.io/index.html</w:t>
        </w:r>
      </w:hyperlink>
      <w:r w:rsidRPr="00387145">
        <w:rPr>
          <w:rFonts w:ascii="Arial" w:hAnsi="Arial" w:cs="Arial"/>
          <w:b/>
          <w:bCs/>
          <w:sz w:val="24"/>
          <w:szCs w:val="24"/>
        </w:rPr>
        <w:t xml:space="preserve"> </w:t>
      </w:r>
    </w:p>
    <w:p w14:paraId="5ED8C28E" w14:textId="77777777" w:rsidR="009237F9" w:rsidRPr="00387145" w:rsidRDefault="009237F9" w:rsidP="00387145">
      <w:pPr>
        <w:spacing w:line="480" w:lineRule="auto"/>
        <w:rPr>
          <w:rFonts w:ascii="Arial" w:hAnsi="Arial" w:cs="Arial"/>
          <w:sz w:val="24"/>
          <w:szCs w:val="24"/>
          <w:lang w:eastAsia="en-GB"/>
        </w:rPr>
      </w:pPr>
    </w:p>
    <w:p w14:paraId="5B30084B" w14:textId="77777777" w:rsidR="00352DBD" w:rsidRPr="00387145" w:rsidRDefault="00883950" w:rsidP="00387145">
      <w:pPr>
        <w:spacing w:line="480" w:lineRule="auto"/>
        <w:rPr>
          <w:rFonts w:ascii="Arial" w:hAnsi="Arial" w:cs="Arial"/>
          <w:b/>
          <w:bCs/>
          <w:sz w:val="24"/>
          <w:szCs w:val="24"/>
          <w:lang w:eastAsia="en-GB"/>
        </w:rPr>
      </w:pPr>
      <w:r w:rsidRPr="00387145">
        <w:rPr>
          <w:rFonts w:ascii="Arial" w:hAnsi="Arial" w:cs="Arial"/>
          <w:b/>
          <w:bCs/>
          <w:sz w:val="24"/>
          <w:szCs w:val="24"/>
          <w:lang w:eastAsia="en-GB"/>
        </w:rPr>
        <w:t>Introduction</w:t>
      </w:r>
    </w:p>
    <w:p w14:paraId="5CBAFE2F" w14:textId="4543315E" w:rsidR="00352DBD" w:rsidRPr="00387145"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The journey from the initial status document in Unit 6 to the final project in Unit 11 has been instrumental in deepening my understanding of risk management and digital</w:t>
      </w:r>
      <w:r w:rsidR="002B4A1E" w:rsidRPr="00387145">
        <w:rPr>
          <w:rFonts w:ascii="Arial" w:hAnsi="Arial" w:cs="Arial"/>
          <w:sz w:val="24"/>
          <w:szCs w:val="24"/>
          <w:lang w:eastAsia="en-GB"/>
        </w:rPr>
        <w:t>isation</w:t>
      </w:r>
      <w:r w:rsidRPr="00387145">
        <w:rPr>
          <w:rFonts w:ascii="Arial" w:hAnsi="Arial" w:cs="Arial"/>
          <w:sz w:val="24"/>
          <w:szCs w:val="24"/>
          <w:lang w:eastAsia="en-GB"/>
        </w:rPr>
        <w:t>. Collaborating with a team initially and transitioning to an individual project provided varied experiences in project management, teamwork, and independent analysis. This reflection critically evaluates the final project against the status document, highlighting key learnings, challenges, and personal growth.</w:t>
      </w:r>
    </w:p>
    <w:p w14:paraId="07331B44" w14:textId="77777777" w:rsidR="009237F9" w:rsidRPr="00AF485A" w:rsidRDefault="009237F9" w:rsidP="00387145">
      <w:pPr>
        <w:spacing w:line="480" w:lineRule="auto"/>
        <w:rPr>
          <w:rFonts w:ascii="Arial" w:hAnsi="Arial" w:cs="Arial"/>
          <w:b/>
          <w:bCs/>
          <w:sz w:val="24"/>
          <w:szCs w:val="24"/>
          <w:lang w:eastAsia="en-GB"/>
        </w:rPr>
      </w:pPr>
    </w:p>
    <w:p w14:paraId="0CB64238"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t>Project Overview: Initial Status Document (Unit 6)</w:t>
      </w:r>
    </w:p>
    <w:p w14:paraId="47171C76" w14:textId="6C3A796E" w:rsidR="00352DBD" w:rsidRPr="00387145"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In Unit 6, our Cyber Risk Rangers team analyse</w:t>
      </w:r>
      <w:r w:rsidR="00E279E0" w:rsidRPr="00387145">
        <w:rPr>
          <w:rFonts w:ascii="Arial" w:hAnsi="Arial" w:cs="Arial"/>
          <w:sz w:val="24"/>
          <w:szCs w:val="24"/>
          <w:lang w:eastAsia="en-GB"/>
        </w:rPr>
        <w:t>d</w:t>
      </w:r>
      <w:r w:rsidRPr="00387145">
        <w:rPr>
          <w:rFonts w:ascii="Arial" w:hAnsi="Arial" w:cs="Arial"/>
          <w:sz w:val="24"/>
          <w:szCs w:val="24"/>
          <w:lang w:eastAsia="en-GB"/>
        </w:rPr>
        <w:t xml:space="preserve"> and present</w:t>
      </w:r>
      <w:r w:rsidR="00E279E0" w:rsidRPr="00387145">
        <w:rPr>
          <w:rFonts w:ascii="Arial" w:hAnsi="Arial" w:cs="Arial"/>
          <w:sz w:val="24"/>
          <w:szCs w:val="24"/>
          <w:lang w:eastAsia="en-GB"/>
        </w:rPr>
        <w:t>ed</w:t>
      </w:r>
      <w:r w:rsidRPr="00387145">
        <w:rPr>
          <w:rFonts w:ascii="Arial" w:hAnsi="Arial" w:cs="Arial"/>
          <w:sz w:val="24"/>
          <w:szCs w:val="24"/>
          <w:lang w:eastAsia="en-GB"/>
        </w:rPr>
        <w:t xml:space="preserve"> a comprehensive risk assessment and digital</w:t>
      </w:r>
      <w:r w:rsidR="002B4A1E" w:rsidRPr="00387145">
        <w:rPr>
          <w:rFonts w:ascii="Arial" w:hAnsi="Arial" w:cs="Arial"/>
          <w:sz w:val="24"/>
          <w:szCs w:val="24"/>
          <w:lang w:eastAsia="en-GB"/>
        </w:rPr>
        <w:t xml:space="preserve">isation </w:t>
      </w:r>
      <w:r w:rsidRPr="00387145">
        <w:rPr>
          <w:rFonts w:ascii="Arial" w:hAnsi="Arial" w:cs="Arial"/>
          <w:sz w:val="24"/>
          <w:szCs w:val="24"/>
          <w:lang w:eastAsia="en-GB"/>
        </w:rPr>
        <w:t>strategy for Pampered Pets. The status document outlined our methodology, goals, and expected outcomes, focusing on enhancing our understanding of risk assessment frameworks and collaborative research. We incorporated ISO 31000, STRIDE, and FAIR models to establish a structured, comprehensive risk management approach. The expected outcomes included developing a digital</w:t>
      </w:r>
      <w:r w:rsidR="00BA719A" w:rsidRPr="00387145">
        <w:rPr>
          <w:rFonts w:ascii="Arial" w:hAnsi="Arial" w:cs="Arial"/>
          <w:sz w:val="24"/>
          <w:szCs w:val="24"/>
          <w:lang w:eastAsia="en-GB"/>
        </w:rPr>
        <w:t>isation</w:t>
      </w:r>
      <w:r w:rsidRPr="00387145">
        <w:rPr>
          <w:rFonts w:ascii="Arial" w:hAnsi="Arial" w:cs="Arial"/>
          <w:sz w:val="24"/>
          <w:szCs w:val="24"/>
          <w:lang w:eastAsia="en-GB"/>
        </w:rPr>
        <w:t xml:space="preserve"> strategy that addressed business growth, cost reduction, and customer retention risks.</w:t>
      </w:r>
    </w:p>
    <w:p w14:paraId="631985EB" w14:textId="77777777" w:rsidR="00352DBD" w:rsidRPr="00387145" w:rsidRDefault="00352DBD" w:rsidP="00387145">
      <w:pPr>
        <w:spacing w:line="480" w:lineRule="auto"/>
        <w:rPr>
          <w:rFonts w:ascii="Arial" w:hAnsi="Arial" w:cs="Arial"/>
          <w:sz w:val="24"/>
          <w:szCs w:val="24"/>
          <w:lang w:eastAsia="en-GB"/>
        </w:rPr>
      </w:pPr>
    </w:p>
    <w:p w14:paraId="2271891E" w14:textId="77777777" w:rsidR="00AF485A" w:rsidRDefault="00AF485A" w:rsidP="00387145">
      <w:pPr>
        <w:spacing w:line="480" w:lineRule="auto"/>
        <w:rPr>
          <w:rFonts w:ascii="Arial" w:hAnsi="Arial" w:cs="Arial"/>
          <w:b/>
          <w:bCs/>
          <w:sz w:val="24"/>
          <w:szCs w:val="24"/>
          <w:lang w:eastAsia="en-GB"/>
        </w:rPr>
      </w:pPr>
    </w:p>
    <w:p w14:paraId="5CABA498" w14:textId="319E56B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lastRenderedPageBreak/>
        <w:t>Transition to the Final Project (Unit 11)</w:t>
      </w:r>
    </w:p>
    <w:p w14:paraId="3FD6513B" w14:textId="77F92F2D" w:rsidR="00352DBD"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The final project in Unit 11 required a more in-depth and individual-focused analysis. This project evaluated risks and opportunities in Pampered Pets' digitalisation plan, utilising Monte Carlo simulations to quantify financial impacts (Olson &amp; Wu, 2020). Key recommendations were made to implement advanced monitoring systems, enhance quality assurance, encrypt data, and diversify suppliers to mitigate identified risks. The project provided a comprehensive risk analysis, focusing on quality risks, supply chain disruptions, and financial impacts.</w:t>
      </w:r>
    </w:p>
    <w:p w14:paraId="310199CF" w14:textId="77777777" w:rsidR="00AF485A" w:rsidRPr="00387145" w:rsidRDefault="00AF485A" w:rsidP="00387145">
      <w:pPr>
        <w:spacing w:line="480" w:lineRule="auto"/>
        <w:rPr>
          <w:rFonts w:ascii="Arial" w:hAnsi="Arial" w:cs="Arial"/>
          <w:sz w:val="24"/>
          <w:szCs w:val="24"/>
          <w:lang w:eastAsia="en-GB"/>
        </w:rPr>
      </w:pPr>
    </w:p>
    <w:p w14:paraId="1BF7217F"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t>Security and Risk Management Process</w:t>
      </w:r>
    </w:p>
    <w:p w14:paraId="72CCCF8A" w14:textId="53AC048D" w:rsidR="00352DBD" w:rsidRPr="00387145"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 xml:space="preserve">The methodological depth and application evolved substantially from Unit 6 to Unit 11. Initially, the status document primarily focused on setting the groundwork and understanding the frameworks of ISO 31000, STRIDE, and FAIR models (ISO, 2023; </w:t>
      </w:r>
      <w:proofErr w:type="spellStart"/>
      <w:r w:rsidRPr="00387145">
        <w:rPr>
          <w:rFonts w:ascii="Arial" w:hAnsi="Arial" w:cs="Arial"/>
          <w:sz w:val="24"/>
          <w:szCs w:val="24"/>
          <w:lang w:eastAsia="en-GB"/>
        </w:rPr>
        <w:t>Shostack</w:t>
      </w:r>
      <w:proofErr w:type="spellEnd"/>
      <w:r w:rsidRPr="00387145">
        <w:rPr>
          <w:rFonts w:ascii="Arial" w:hAnsi="Arial" w:cs="Arial"/>
          <w:sz w:val="24"/>
          <w:szCs w:val="24"/>
          <w:lang w:eastAsia="en-GB"/>
        </w:rPr>
        <w:t>, 2014; Wang et al. 2019). However, in Unit 11, these methodologies were applied in greater detail, primarily through Monte Carlo simulations, to provide a quantitative risk assessment (Olson &amp; Wu, 2020). This process enhanced my understanding of integrating multiple risk management frameworks to address various aspects of digital</w:t>
      </w:r>
      <w:r w:rsidR="000B4E2F" w:rsidRPr="00387145">
        <w:rPr>
          <w:rFonts w:ascii="Arial" w:hAnsi="Arial" w:cs="Arial"/>
          <w:sz w:val="24"/>
          <w:szCs w:val="24"/>
          <w:lang w:eastAsia="en-GB"/>
        </w:rPr>
        <w:t>isation</w:t>
      </w:r>
      <w:r w:rsidRPr="00387145">
        <w:rPr>
          <w:rFonts w:ascii="Arial" w:hAnsi="Arial" w:cs="Arial"/>
          <w:sz w:val="24"/>
          <w:szCs w:val="24"/>
          <w:lang w:eastAsia="en-GB"/>
        </w:rPr>
        <w:t>. The transition from qualitative to quantitative analysis provided a more robust evaluation of potential financial impacts, demonstrating an advanced understanding and practical application of risk management techniques.</w:t>
      </w:r>
    </w:p>
    <w:p w14:paraId="03D4FF6F" w14:textId="77777777" w:rsidR="00352DBD" w:rsidRPr="00387145" w:rsidRDefault="00352DBD" w:rsidP="00387145">
      <w:pPr>
        <w:spacing w:line="480" w:lineRule="auto"/>
        <w:rPr>
          <w:rFonts w:ascii="Arial" w:hAnsi="Arial" w:cs="Arial"/>
          <w:sz w:val="24"/>
          <w:szCs w:val="24"/>
          <w:lang w:eastAsia="en-GB"/>
        </w:rPr>
      </w:pPr>
    </w:p>
    <w:p w14:paraId="537A9BF0" w14:textId="77777777" w:rsidR="00352DBD" w:rsidRPr="00387145" w:rsidRDefault="00352DBD" w:rsidP="00387145">
      <w:pPr>
        <w:spacing w:line="480" w:lineRule="auto"/>
        <w:rPr>
          <w:rFonts w:ascii="Arial" w:hAnsi="Arial" w:cs="Arial"/>
          <w:sz w:val="24"/>
          <w:szCs w:val="24"/>
          <w:lang w:eastAsia="en-GB"/>
        </w:rPr>
      </w:pPr>
    </w:p>
    <w:p w14:paraId="73A1CC51" w14:textId="77777777" w:rsidR="009E0D73" w:rsidRPr="00AF485A" w:rsidRDefault="00883950" w:rsidP="00387145">
      <w:pPr>
        <w:spacing w:line="480" w:lineRule="auto"/>
        <w:rPr>
          <w:rFonts w:ascii="Arial" w:hAnsi="Arial" w:cs="Arial"/>
          <w:b/>
          <w:bCs/>
          <w:sz w:val="24"/>
          <w:szCs w:val="24"/>
        </w:rPr>
      </w:pPr>
      <w:r w:rsidRPr="00AF485A">
        <w:rPr>
          <w:rFonts w:ascii="Arial" w:hAnsi="Arial" w:cs="Arial"/>
          <w:b/>
          <w:bCs/>
          <w:sz w:val="24"/>
          <w:szCs w:val="24"/>
        </w:rPr>
        <w:lastRenderedPageBreak/>
        <w:t>Individual Contributions to Team Activities</w:t>
      </w:r>
    </w:p>
    <w:p w14:paraId="212847F3" w14:textId="09377F2D" w:rsidR="009E0D73" w:rsidRDefault="00883950" w:rsidP="00387145">
      <w:pPr>
        <w:spacing w:line="480" w:lineRule="auto"/>
        <w:rPr>
          <w:rFonts w:ascii="Arial" w:hAnsi="Arial" w:cs="Arial"/>
          <w:sz w:val="24"/>
          <w:szCs w:val="24"/>
        </w:rPr>
      </w:pPr>
      <w:r w:rsidRPr="00387145">
        <w:rPr>
          <w:rFonts w:ascii="Arial" w:hAnsi="Arial" w:cs="Arial"/>
          <w:sz w:val="24"/>
          <w:szCs w:val="24"/>
        </w:rPr>
        <w:t xml:space="preserve">In Unit 6, my contributions were integral to the team's success. I led several discussions, ensuring productive and goal-oriented meetings. I also conducted thorough research on ISO 31000 and FAIR models, which are critical for our risk assessment framework. My efforts in compiling and editing the final report ensured coherence and clarity. The peer review highlighted effective teamwork but highlighted challenges such as differing work </w:t>
      </w:r>
      <w:proofErr w:type="spellStart"/>
      <w:r w:rsidRPr="00387145">
        <w:rPr>
          <w:rFonts w:ascii="Arial" w:hAnsi="Arial" w:cs="Arial"/>
          <w:sz w:val="24"/>
          <w:szCs w:val="24"/>
        </w:rPr>
        <w:t>paces</w:t>
      </w:r>
      <w:proofErr w:type="spellEnd"/>
      <w:r w:rsidRPr="00387145">
        <w:rPr>
          <w:rFonts w:ascii="Arial" w:hAnsi="Arial" w:cs="Arial"/>
          <w:sz w:val="24"/>
          <w:szCs w:val="24"/>
        </w:rPr>
        <w:t xml:space="preserve"> and conflicting ideas (Watts, 2024). Managing these dynamics required open communication and compromise, strengthening my collaborative skills. Specifically, I facilitated conflict resolution by mediating between differing viewpoints and enhancing team cohesion.</w:t>
      </w:r>
    </w:p>
    <w:p w14:paraId="4B9F1D31" w14:textId="77777777" w:rsidR="00AF485A" w:rsidRPr="00387145" w:rsidRDefault="00AF485A" w:rsidP="00387145">
      <w:pPr>
        <w:spacing w:line="480" w:lineRule="auto"/>
        <w:rPr>
          <w:rFonts w:ascii="Arial" w:hAnsi="Arial" w:cs="Arial"/>
          <w:sz w:val="24"/>
          <w:szCs w:val="24"/>
        </w:rPr>
      </w:pPr>
    </w:p>
    <w:p w14:paraId="7B065CB6"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t>Experience as a Member of a Development Team</w:t>
      </w:r>
    </w:p>
    <w:p w14:paraId="3E1FA0C9" w14:textId="52456922" w:rsidR="00352DBD"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Working with the Cyber Risk Rangers in Unit 6 emphasised the importance of teamwork, communication, and collective problem-solving. Each member brought unique strengths, and we learned to integrate diverse perspectives to enhance our overall analysis (</w:t>
      </w:r>
      <w:r w:rsidR="0000586A">
        <w:rPr>
          <w:rFonts w:ascii="Arial" w:hAnsi="Arial" w:cs="Arial"/>
          <w:sz w:val="24"/>
          <w:szCs w:val="24"/>
          <w:lang w:eastAsia="en-GB"/>
        </w:rPr>
        <w:t>Par</w:t>
      </w:r>
      <w:r w:rsidR="00970C42">
        <w:rPr>
          <w:rFonts w:ascii="Arial" w:hAnsi="Arial" w:cs="Arial"/>
          <w:sz w:val="24"/>
          <w:szCs w:val="24"/>
          <w:lang w:eastAsia="en-GB"/>
        </w:rPr>
        <w:t>e</w:t>
      </w:r>
      <w:r w:rsidR="0000586A">
        <w:rPr>
          <w:rFonts w:ascii="Arial" w:hAnsi="Arial" w:cs="Arial"/>
          <w:sz w:val="24"/>
          <w:szCs w:val="24"/>
          <w:lang w:eastAsia="en-GB"/>
        </w:rPr>
        <w:t>des &amp; Watts</w:t>
      </w:r>
      <w:r w:rsidRPr="00387145">
        <w:rPr>
          <w:rFonts w:ascii="Arial" w:hAnsi="Arial" w:cs="Arial"/>
          <w:sz w:val="24"/>
          <w:szCs w:val="24"/>
          <w:lang w:eastAsia="en-GB"/>
        </w:rPr>
        <w:t>, 2024). The experience underscored the value of regular meetings, precise role definitions, and mutual support. Despite challenges, such as integrating different parts of the project and aligning on the project's direction, the collaborative effort resulted in a comprehensive and well-structured risk assessment.</w:t>
      </w:r>
    </w:p>
    <w:p w14:paraId="6F34336D" w14:textId="77777777" w:rsidR="00AF485A" w:rsidRDefault="00AF485A" w:rsidP="00387145">
      <w:pPr>
        <w:spacing w:line="480" w:lineRule="auto"/>
        <w:rPr>
          <w:rFonts w:ascii="Arial" w:hAnsi="Arial" w:cs="Arial"/>
          <w:sz w:val="24"/>
          <w:szCs w:val="24"/>
          <w:lang w:eastAsia="en-GB"/>
        </w:rPr>
      </w:pPr>
    </w:p>
    <w:p w14:paraId="31AAC91F" w14:textId="77777777" w:rsidR="00AF485A" w:rsidRDefault="00AF485A" w:rsidP="00387145">
      <w:pPr>
        <w:spacing w:line="480" w:lineRule="auto"/>
        <w:rPr>
          <w:rFonts w:ascii="Arial" w:hAnsi="Arial" w:cs="Arial"/>
          <w:sz w:val="24"/>
          <w:szCs w:val="24"/>
          <w:lang w:eastAsia="en-GB"/>
        </w:rPr>
      </w:pPr>
    </w:p>
    <w:p w14:paraId="134767B4" w14:textId="77777777" w:rsidR="00AF485A" w:rsidRPr="00387145" w:rsidRDefault="00AF485A" w:rsidP="00387145">
      <w:pPr>
        <w:spacing w:line="480" w:lineRule="auto"/>
        <w:rPr>
          <w:rFonts w:ascii="Arial" w:hAnsi="Arial" w:cs="Arial"/>
          <w:sz w:val="24"/>
          <w:szCs w:val="24"/>
          <w:lang w:eastAsia="en-GB"/>
        </w:rPr>
      </w:pPr>
    </w:p>
    <w:p w14:paraId="5E6823CC"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lastRenderedPageBreak/>
        <w:t>Emotional Response and Analysis</w:t>
      </w:r>
    </w:p>
    <w:p w14:paraId="5C322EB6" w14:textId="48244CC7" w:rsidR="00352DBD"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 xml:space="preserve">Working on the project elicited a range of emotions. Initially, the collaborative nature fostered a sense of camaraderie and shared purpose. However, challenges such as conflicting ideas on risk assessment models and differing work </w:t>
      </w:r>
      <w:proofErr w:type="spellStart"/>
      <w:r w:rsidRPr="00387145">
        <w:rPr>
          <w:rFonts w:ascii="Arial" w:hAnsi="Arial" w:cs="Arial"/>
          <w:sz w:val="24"/>
          <w:szCs w:val="24"/>
          <w:lang w:eastAsia="en-GB"/>
        </w:rPr>
        <w:t>paces</w:t>
      </w:r>
      <w:proofErr w:type="spellEnd"/>
      <w:r w:rsidRPr="00387145">
        <w:rPr>
          <w:rFonts w:ascii="Arial" w:hAnsi="Arial" w:cs="Arial"/>
          <w:sz w:val="24"/>
          <w:szCs w:val="24"/>
          <w:lang w:eastAsia="en-GB"/>
        </w:rPr>
        <w:t xml:space="preserve"> in data collection and analysis sometimes lead to frustration. These emotions impacted my work by driving me to improve my communication and develop patience and negotiation skills. Reflecting on peer feedback and previous experiences, I realised the importance of adaptability and emotional resilience in collaborative environments. This realisation was supported by literature on team dynamics, emphasising emotional intelligence's role in successful teamwork (Goleman, 1995).</w:t>
      </w:r>
    </w:p>
    <w:p w14:paraId="0DADC32C" w14:textId="77777777" w:rsidR="00AF485A" w:rsidRPr="00387145" w:rsidRDefault="00AF485A" w:rsidP="00387145">
      <w:pPr>
        <w:spacing w:line="480" w:lineRule="auto"/>
        <w:rPr>
          <w:rFonts w:ascii="Arial" w:hAnsi="Arial" w:cs="Arial"/>
          <w:sz w:val="24"/>
          <w:szCs w:val="24"/>
          <w:lang w:eastAsia="en-GB"/>
        </w:rPr>
      </w:pPr>
    </w:p>
    <w:p w14:paraId="0C36E1A6"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t>Learning and Changed Actions</w:t>
      </w:r>
    </w:p>
    <w:p w14:paraId="35F8CBA0" w14:textId="50F936F1" w:rsidR="00352DBD" w:rsidRPr="00387145"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 xml:space="preserve">The transition to an individual project in Unit 11 prompted a significant shift in my approach to learning and problem-solving. </w:t>
      </w:r>
      <w:r w:rsidRPr="00387145">
        <w:rPr>
          <w:rFonts w:ascii="Arial" w:hAnsi="Arial" w:cs="Arial"/>
          <w:sz w:val="24"/>
          <w:szCs w:val="24"/>
        </w:rPr>
        <w:t>The autonomy required for independently managing complex analys</w:t>
      </w:r>
      <w:r w:rsidR="004302D5" w:rsidRPr="00387145">
        <w:rPr>
          <w:rFonts w:ascii="Arial" w:hAnsi="Arial" w:cs="Arial"/>
          <w:sz w:val="24"/>
          <w:szCs w:val="24"/>
        </w:rPr>
        <w:t>i</w:t>
      </w:r>
      <w:r w:rsidRPr="00387145">
        <w:rPr>
          <w:rFonts w:ascii="Arial" w:hAnsi="Arial" w:cs="Arial"/>
          <w:sz w:val="24"/>
          <w:szCs w:val="24"/>
        </w:rPr>
        <w:t xml:space="preserve">s pushed me to develop a more structured and disciplined approach. Specifically, using Monte Carlo simulations necessitated meticulous data validation and critical assessment of assumptions, significantly deepening my analytical skills (Olson &amp; Wu, 2020). This rigorous process highlighted the importance of data integrity and the impact of accurate assumptions on risk assessments. Additionally, I explored alternative risk assessment techniques, such as Bayesian networks, to compare their effectiveness against Monte Carlo simulations. This comparative analysis broadened my understanding of different methodologies. The insights gained from this project have fundamentally changed my approach to risk assessment, making me more thorough and </w:t>
      </w:r>
      <w:proofErr w:type="gramStart"/>
      <w:r w:rsidRPr="00387145">
        <w:rPr>
          <w:rFonts w:ascii="Arial" w:hAnsi="Arial" w:cs="Arial"/>
          <w:sz w:val="24"/>
          <w:szCs w:val="24"/>
        </w:rPr>
        <w:t>data-driven</w:t>
      </w:r>
      <w:proofErr w:type="gramEnd"/>
      <w:r w:rsidRPr="00387145">
        <w:rPr>
          <w:rFonts w:ascii="Arial" w:hAnsi="Arial" w:cs="Arial"/>
          <w:sz w:val="24"/>
          <w:szCs w:val="24"/>
        </w:rPr>
        <w:t>.</w:t>
      </w:r>
    </w:p>
    <w:p w14:paraId="068BF22F"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lastRenderedPageBreak/>
        <w:t>Skills and Knowledge Developed</w:t>
      </w:r>
    </w:p>
    <w:p w14:paraId="41D6B104" w14:textId="2280D328" w:rsidR="00352DBD"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Throughout this journey, I significantly enhanced my ability to apply risk management frameworks and conduct quantitative analys</w:t>
      </w:r>
      <w:r w:rsidR="002113F9" w:rsidRPr="00387145">
        <w:rPr>
          <w:rFonts w:ascii="Arial" w:hAnsi="Arial" w:cs="Arial"/>
          <w:sz w:val="24"/>
          <w:szCs w:val="24"/>
          <w:lang w:eastAsia="en-GB"/>
        </w:rPr>
        <w:t>i</w:t>
      </w:r>
      <w:r w:rsidRPr="00387145">
        <w:rPr>
          <w:rFonts w:ascii="Arial" w:hAnsi="Arial" w:cs="Arial"/>
          <w:sz w:val="24"/>
          <w:szCs w:val="24"/>
          <w:lang w:eastAsia="en-GB"/>
        </w:rPr>
        <w:t>s using Monte Carlo simulations. My analytical thinking improved through the detailed evaluation of potential risks and impacts. Additionally, my project management skills developed significantly as I transitioned from collaborative to individual work settings. The challenges faced provided valuable learning opportunities. Ensuring data accuracy and managing complex projects independently demonstrated personal growth and confidence in my analytical abilities. These skills are directly applicable to real-world scenarios in Cybersecurity and risk management.</w:t>
      </w:r>
    </w:p>
    <w:p w14:paraId="1AA8D40C" w14:textId="77777777" w:rsidR="00AF485A" w:rsidRPr="00387145" w:rsidRDefault="00AF485A" w:rsidP="00387145">
      <w:pPr>
        <w:spacing w:line="480" w:lineRule="auto"/>
        <w:rPr>
          <w:rFonts w:ascii="Arial" w:hAnsi="Arial" w:cs="Arial"/>
          <w:sz w:val="24"/>
          <w:szCs w:val="24"/>
          <w:lang w:eastAsia="en-GB"/>
        </w:rPr>
      </w:pPr>
    </w:p>
    <w:p w14:paraId="6451CC47"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t>Professional and Personal Development</w:t>
      </w:r>
    </w:p>
    <w:p w14:paraId="3116BA3A" w14:textId="74E39E12" w:rsidR="00352DBD"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The challenges faced during this journey provided valuable learning opportunities. They have profoundly impacted my professional development, as I gained deeper insights into digitalisation and risk management, which are valuable for future professional roles in Cybersecurity and risk analysis. My communication skills improved as I developed the ability to articulate complex analyses and recommendations clearly and effectively in writing and presentations.</w:t>
      </w:r>
    </w:p>
    <w:p w14:paraId="56630EA5" w14:textId="77777777" w:rsidR="00AF485A" w:rsidRPr="00387145" w:rsidRDefault="00AF485A" w:rsidP="00387145">
      <w:pPr>
        <w:spacing w:line="480" w:lineRule="auto"/>
        <w:rPr>
          <w:rFonts w:ascii="Arial" w:hAnsi="Arial" w:cs="Arial"/>
          <w:sz w:val="24"/>
          <w:szCs w:val="24"/>
          <w:lang w:eastAsia="en-GB"/>
        </w:rPr>
      </w:pPr>
    </w:p>
    <w:p w14:paraId="4FF31544"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t>Future Applications and Continuous Learning</w:t>
      </w:r>
    </w:p>
    <w:p w14:paraId="3B83B582" w14:textId="58AB7920" w:rsidR="00352DBD"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 xml:space="preserve">The skills and knowledge developed through this project have equipped me with the tools necessary for continuous learning and professional growth. Adapting to new methodologies, critically evaluating data, and integrating theory with practice will </w:t>
      </w:r>
      <w:r w:rsidRPr="00387145">
        <w:rPr>
          <w:rFonts w:ascii="Arial" w:hAnsi="Arial" w:cs="Arial"/>
          <w:sz w:val="24"/>
          <w:szCs w:val="24"/>
          <w:lang w:eastAsia="en-GB"/>
        </w:rPr>
        <w:lastRenderedPageBreak/>
        <w:t>enhance my effectiveness in identifying threats and devising appropriate defences in my future career. This commitment to continuous improvement is essential in the ever-evolving field of Cybersecurity.</w:t>
      </w:r>
    </w:p>
    <w:p w14:paraId="73F8813B" w14:textId="77777777" w:rsidR="00AF485A" w:rsidRPr="00387145" w:rsidRDefault="00AF485A" w:rsidP="00387145">
      <w:pPr>
        <w:spacing w:line="480" w:lineRule="auto"/>
        <w:rPr>
          <w:rFonts w:ascii="Arial" w:hAnsi="Arial" w:cs="Arial"/>
          <w:sz w:val="24"/>
          <w:szCs w:val="24"/>
          <w:lang w:eastAsia="en-GB"/>
        </w:rPr>
      </w:pPr>
    </w:p>
    <w:p w14:paraId="46D713F8" w14:textId="77777777" w:rsidR="00352DBD" w:rsidRPr="00AF485A" w:rsidRDefault="00883950" w:rsidP="00387145">
      <w:pPr>
        <w:spacing w:line="480" w:lineRule="auto"/>
        <w:rPr>
          <w:rFonts w:ascii="Arial" w:hAnsi="Arial" w:cs="Arial"/>
          <w:b/>
          <w:bCs/>
          <w:sz w:val="24"/>
          <w:szCs w:val="24"/>
          <w:lang w:eastAsia="en-GB"/>
        </w:rPr>
      </w:pPr>
      <w:r w:rsidRPr="00AF485A">
        <w:rPr>
          <w:rFonts w:ascii="Arial" w:hAnsi="Arial" w:cs="Arial"/>
          <w:b/>
          <w:bCs/>
          <w:sz w:val="24"/>
          <w:szCs w:val="24"/>
          <w:lang w:eastAsia="en-GB"/>
        </w:rPr>
        <w:t>Conclusion</w:t>
      </w:r>
    </w:p>
    <w:p w14:paraId="4425DF78" w14:textId="56C48EEE" w:rsidR="00352DBD" w:rsidRPr="00387145" w:rsidRDefault="00883950" w:rsidP="00387145">
      <w:pPr>
        <w:spacing w:line="480" w:lineRule="auto"/>
        <w:rPr>
          <w:rFonts w:ascii="Arial" w:hAnsi="Arial" w:cs="Arial"/>
          <w:sz w:val="24"/>
          <w:szCs w:val="24"/>
          <w:lang w:eastAsia="en-GB"/>
        </w:rPr>
      </w:pPr>
      <w:r w:rsidRPr="00387145">
        <w:rPr>
          <w:rFonts w:ascii="Arial" w:hAnsi="Arial" w:cs="Arial"/>
          <w:sz w:val="24"/>
          <w:szCs w:val="24"/>
          <w:lang w:eastAsia="en-GB"/>
        </w:rPr>
        <w:t>T</w:t>
      </w:r>
      <w:r w:rsidR="00890A86" w:rsidRPr="00387145">
        <w:rPr>
          <w:rFonts w:ascii="Arial" w:hAnsi="Arial" w:cs="Arial"/>
          <w:sz w:val="24"/>
          <w:szCs w:val="24"/>
          <w:lang w:eastAsia="en-GB"/>
        </w:rPr>
        <w:t>he journey from the initial status document in Unit 6 to the final project in Unit 11 has been a transformative learning experience. It has significantly enhanced my understanding of risk management, improved my analytical and project management skills, and provided valuable insights into collaborative and independent work environments. This project has contributed to my academic growth and prepared me for future</w:t>
      </w:r>
      <w:r w:rsidR="00C3678F" w:rsidRPr="00387145">
        <w:rPr>
          <w:rFonts w:ascii="Arial" w:hAnsi="Arial" w:cs="Arial"/>
          <w:sz w:val="24"/>
          <w:szCs w:val="24"/>
          <w:lang w:eastAsia="en-GB"/>
        </w:rPr>
        <w:t xml:space="preserve"> </w:t>
      </w:r>
      <w:r w:rsidR="00890A86" w:rsidRPr="00387145">
        <w:rPr>
          <w:rFonts w:ascii="Arial" w:hAnsi="Arial" w:cs="Arial"/>
          <w:sz w:val="24"/>
          <w:szCs w:val="24"/>
          <w:lang w:eastAsia="en-GB"/>
        </w:rPr>
        <w:t xml:space="preserve">Cybersecurity and risk management professional challenges. </w:t>
      </w:r>
    </w:p>
    <w:p w14:paraId="7033F2C1" w14:textId="77777777" w:rsidR="00AF485A" w:rsidRDefault="00AF485A" w:rsidP="00387145">
      <w:pPr>
        <w:spacing w:line="480" w:lineRule="auto"/>
        <w:rPr>
          <w:rFonts w:ascii="Arial" w:hAnsi="Arial" w:cs="Arial"/>
          <w:sz w:val="24"/>
          <w:szCs w:val="24"/>
          <w:lang w:eastAsia="en-GB"/>
        </w:rPr>
      </w:pPr>
    </w:p>
    <w:p w14:paraId="32C053E5" w14:textId="77777777" w:rsidR="00AF485A" w:rsidRDefault="00AF485A" w:rsidP="00387145">
      <w:pPr>
        <w:spacing w:line="480" w:lineRule="auto"/>
        <w:rPr>
          <w:rFonts w:ascii="Arial" w:hAnsi="Arial" w:cs="Arial"/>
          <w:sz w:val="24"/>
          <w:szCs w:val="24"/>
          <w:lang w:eastAsia="en-GB"/>
        </w:rPr>
      </w:pPr>
    </w:p>
    <w:p w14:paraId="3E36F5F3" w14:textId="77777777" w:rsidR="00AF485A" w:rsidRDefault="00AF485A" w:rsidP="00387145">
      <w:pPr>
        <w:spacing w:line="480" w:lineRule="auto"/>
        <w:rPr>
          <w:rFonts w:ascii="Arial" w:hAnsi="Arial" w:cs="Arial"/>
          <w:sz w:val="24"/>
          <w:szCs w:val="24"/>
          <w:lang w:eastAsia="en-GB"/>
        </w:rPr>
      </w:pPr>
    </w:p>
    <w:p w14:paraId="03BA3A34" w14:textId="77777777" w:rsidR="00AF485A" w:rsidRDefault="00AF485A" w:rsidP="00387145">
      <w:pPr>
        <w:spacing w:line="480" w:lineRule="auto"/>
        <w:rPr>
          <w:rFonts w:ascii="Arial" w:hAnsi="Arial" w:cs="Arial"/>
          <w:sz w:val="24"/>
          <w:szCs w:val="24"/>
          <w:lang w:eastAsia="en-GB"/>
        </w:rPr>
      </w:pPr>
    </w:p>
    <w:p w14:paraId="2B83E0BF" w14:textId="77777777" w:rsidR="00AF485A" w:rsidRDefault="00AF485A" w:rsidP="00387145">
      <w:pPr>
        <w:spacing w:line="480" w:lineRule="auto"/>
        <w:rPr>
          <w:rFonts w:ascii="Arial" w:hAnsi="Arial" w:cs="Arial"/>
          <w:sz w:val="24"/>
          <w:szCs w:val="24"/>
          <w:lang w:eastAsia="en-GB"/>
        </w:rPr>
      </w:pPr>
    </w:p>
    <w:p w14:paraId="4494DF72" w14:textId="77777777" w:rsidR="00AF485A" w:rsidRDefault="00AF485A" w:rsidP="00387145">
      <w:pPr>
        <w:spacing w:line="480" w:lineRule="auto"/>
        <w:rPr>
          <w:rFonts w:ascii="Arial" w:hAnsi="Arial" w:cs="Arial"/>
          <w:sz w:val="24"/>
          <w:szCs w:val="24"/>
          <w:lang w:eastAsia="en-GB"/>
        </w:rPr>
      </w:pPr>
    </w:p>
    <w:p w14:paraId="08C87B5C" w14:textId="77777777" w:rsidR="00AF485A" w:rsidRDefault="00AF485A" w:rsidP="00387145">
      <w:pPr>
        <w:spacing w:line="480" w:lineRule="auto"/>
        <w:rPr>
          <w:rFonts w:ascii="Arial" w:hAnsi="Arial" w:cs="Arial"/>
          <w:sz w:val="24"/>
          <w:szCs w:val="24"/>
          <w:lang w:eastAsia="en-GB"/>
        </w:rPr>
      </w:pPr>
    </w:p>
    <w:p w14:paraId="0DBEBBA1" w14:textId="77777777" w:rsidR="00AF485A" w:rsidRDefault="00AF485A" w:rsidP="00387145">
      <w:pPr>
        <w:spacing w:line="480" w:lineRule="auto"/>
        <w:rPr>
          <w:rFonts w:ascii="Arial" w:hAnsi="Arial" w:cs="Arial"/>
          <w:sz w:val="24"/>
          <w:szCs w:val="24"/>
          <w:lang w:eastAsia="en-GB"/>
        </w:rPr>
      </w:pPr>
    </w:p>
    <w:p w14:paraId="0F49C8AE" w14:textId="77777777" w:rsidR="00AF485A" w:rsidRDefault="00AF485A" w:rsidP="00387145">
      <w:pPr>
        <w:spacing w:line="480" w:lineRule="auto"/>
        <w:rPr>
          <w:rFonts w:ascii="Arial" w:hAnsi="Arial" w:cs="Arial"/>
          <w:sz w:val="24"/>
          <w:szCs w:val="24"/>
          <w:lang w:eastAsia="en-GB"/>
        </w:rPr>
      </w:pPr>
    </w:p>
    <w:p w14:paraId="6D874CF7" w14:textId="77777777" w:rsidR="00AF485A" w:rsidRDefault="00AF485A" w:rsidP="00387145">
      <w:pPr>
        <w:spacing w:line="480" w:lineRule="auto"/>
        <w:rPr>
          <w:rFonts w:ascii="Arial" w:hAnsi="Arial" w:cs="Arial"/>
          <w:sz w:val="24"/>
          <w:szCs w:val="24"/>
          <w:lang w:eastAsia="en-GB"/>
        </w:rPr>
      </w:pPr>
    </w:p>
    <w:p w14:paraId="7BFAD848" w14:textId="1CA47E20" w:rsidR="00352DBD" w:rsidRPr="00AF485A" w:rsidRDefault="00883950" w:rsidP="00AF485A">
      <w:pPr>
        <w:spacing w:line="480" w:lineRule="auto"/>
        <w:rPr>
          <w:rFonts w:ascii="Arial" w:hAnsi="Arial" w:cs="Arial"/>
          <w:b/>
          <w:bCs/>
          <w:sz w:val="24"/>
          <w:szCs w:val="24"/>
          <w:lang w:eastAsia="en-GB"/>
        </w:rPr>
      </w:pPr>
      <w:r w:rsidRPr="00AF485A">
        <w:rPr>
          <w:rFonts w:ascii="Arial" w:hAnsi="Arial" w:cs="Arial"/>
          <w:b/>
          <w:bCs/>
          <w:sz w:val="24"/>
          <w:szCs w:val="24"/>
          <w:lang w:eastAsia="en-GB"/>
        </w:rPr>
        <w:lastRenderedPageBreak/>
        <w:t>References List</w:t>
      </w:r>
    </w:p>
    <w:p w14:paraId="2EAF21D4" w14:textId="77777777" w:rsidR="00CF725B" w:rsidRDefault="00883950" w:rsidP="00AF485A">
      <w:pPr>
        <w:spacing w:before="100" w:beforeAutospacing="1" w:after="100" w:afterAutospacing="1" w:line="480" w:lineRule="auto"/>
        <w:rPr>
          <w:rFonts w:ascii="Arial" w:eastAsia="Times New Roman" w:hAnsi="Arial" w:cs="Arial"/>
          <w:kern w:val="0"/>
          <w:sz w:val="24"/>
          <w:szCs w:val="24"/>
          <w:lang w:eastAsia="en-GB"/>
          <w14:ligatures w14:val="none"/>
        </w:rPr>
      </w:pPr>
      <w:proofErr w:type="spellStart"/>
      <w:r w:rsidRPr="00352DBD">
        <w:rPr>
          <w:rFonts w:ascii="Arial" w:eastAsia="Times New Roman" w:hAnsi="Arial" w:cs="Arial"/>
          <w:kern w:val="0"/>
          <w:sz w:val="24"/>
          <w:szCs w:val="24"/>
          <w:lang w:eastAsia="en-GB"/>
          <w14:ligatures w14:val="none"/>
        </w:rPr>
        <w:t>Barafort</w:t>
      </w:r>
      <w:proofErr w:type="spellEnd"/>
      <w:r w:rsidRPr="00352DBD">
        <w:rPr>
          <w:rFonts w:ascii="Arial" w:eastAsia="Times New Roman" w:hAnsi="Arial" w:cs="Arial"/>
          <w:kern w:val="0"/>
          <w:sz w:val="24"/>
          <w:szCs w:val="24"/>
          <w:lang w:eastAsia="en-GB"/>
          <w14:ligatures w14:val="none"/>
        </w:rPr>
        <w:t xml:space="preserve">, B., </w:t>
      </w:r>
      <w:proofErr w:type="spellStart"/>
      <w:r w:rsidRPr="00352DBD">
        <w:rPr>
          <w:rFonts w:ascii="Arial" w:eastAsia="Times New Roman" w:hAnsi="Arial" w:cs="Arial"/>
          <w:kern w:val="0"/>
          <w:sz w:val="24"/>
          <w:szCs w:val="24"/>
          <w:lang w:eastAsia="en-GB"/>
          <w14:ligatures w14:val="none"/>
        </w:rPr>
        <w:t>Mesquida</w:t>
      </w:r>
      <w:proofErr w:type="spellEnd"/>
      <w:r w:rsidRPr="00352DBD">
        <w:rPr>
          <w:rFonts w:ascii="Arial" w:eastAsia="Times New Roman" w:hAnsi="Arial" w:cs="Arial"/>
          <w:kern w:val="0"/>
          <w:sz w:val="24"/>
          <w:szCs w:val="24"/>
          <w:lang w:eastAsia="en-GB"/>
          <w14:ligatures w14:val="none"/>
        </w:rPr>
        <w:t>, L.-A. &amp; Mas, A. (2018) ISO 31000</w:t>
      </w:r>
      <w:r w:rsidRPr="00352DBD">
        <w:rPr>
          <w:rFonts w:ascii="Cambria Math" w:eastAsia="Times New Roman" w:hAnsi="Cambria Math" w:cs="Cambria Math"/>
          <w:kern w:val="0"/>
          <w:sz w:val="24"/>
          <w:szCs w:val="24"/>
          <w:lang w:eastAsia="en-GB"/>
          <w14:ligatures w14:val="none"/>
        </w:rPr>
        <w:t>‐</w:t>
      </w:r>
      <w:r w:rsidRPr="00352DBD">
        <w:rPr>
          <w:rFonts w:ascii="Arial" w:eastAsia="Times New Roman" w:hAnsi="Arial" w:cs="Arial"/>
          <w:kern w:val="0"/>
          <w:sz w:val="24"/>
          <w:szCs w:val="24"/>
          <w:lang w:eastAsia="en-GB"/>
          <w14:ligatures w14:val="none"/>
        </w:rPr>
        <w:t xml:space="preserve">based integrated risk management process assessment model for IT organisations. </w:t>
      </w:r>
      <w:r w:rsidRPr="00352DBD">
        <w:rPr>
          <w:rFonts w:ascii="Arial" w:eastAsia="Times New Roman" w:hAnsi="Arial" w:cs="Arial"/>
          <w:i/>
          <w:iCs/>
          <w:kern w:val="0"/>
          <w:sz w:val="24"/>
          <w:szCs w:val="24"/>
          <w:lang w:eastAsia="en-GB"/>
          <w14:ligatures w14:val="none"/>
        </w:rPr>
        <w:t>Journal of Software: Evolution and Process</w:t>
      </w:r>
      <w:r w:rsidR="009C0460">
        <w:rPr>
          <w:rFonts w:ascii="Arial" w:eastAsia="Times New Roman" w:hAnsi="Arial" w:cs="Arial"/>
          <w:kern w:val="0"/>
          <w:sz w:val="24"/>
          <w:szCs w:val="24"/>
          <w:lang w:eastAsia="en-GB"/>
          <w14:ligatures w14:val="none"/>
        </w:rPr>
        <w:t>.</w:t>
      </w:r>
      <w:r w:rsidRPr="00352DBD">
        <w:rPr>
          <w:rFonts w:ascii="Arial" w:eastAsia="Times New Roman" w:hAnsi="Arial" w:cs="Arial"/>
          <w:kern w:val="0"/>
          <w:sz w:val="24"/>
          <w:szCs w:val="24"/>
          <w:lang w:eastAsia="en-GB"/>
          <w14:ligatures w14:val="none"/>
        </w:rPr>
        <w:t xml:space="preserve"> 1-15.</w:t>
      </w:r>
      <w:r w:rsidR="009C0460">
        <w:rPr>
          <w:rFonts w:ascii="Arial" w:eastAsia="Times New Roman" w:hAnsi="Arial" w:cs="Arial"/>
          <w:kern w:val="0"/>
          <w:sz w:val="24"/>
          <w:szCs w:val="24"/>
          <w:lang w:eastAsia="en-GB"/>
          <w14:ligatures w14:val="none"/>
        </w:rPr>
        <w:t xml:space="preserve"> DOI:</w:t>
      </w:r>
      <w:r w:rsidRPr="00352DBD">
        <w:rPr>
          <w:rFonts w:ascii="Arial" w:eastAsia="Times New Roman" w:hAnsi="Arial" w:cs="Arial"/>
          <w:kern w:val="0"/>
          <w:sz w:val="24"/>
          <w:szCs w:val="24"/>
          <w:lang w:eastAsia="en-GB"/>
          <w14:ligatures w14:val="none"/>
        </w:rPr>
        <w:t xml:space="preserve"> </w:t>
      </w:r>
      <w:hyperlink r:id="rId8" w:tgtFrame="_new" w:history="1">
        <w:r w:rsidRPr="00352DBD">
          <w:rPr>
            <w:rFonts w:ascii="Arial" w:eastAsia="Times New Roman" w:hAnsi="Arial" w:cs="Arial"/>
            <w:color w:val="0000FF"/>
            <w:kern w:val="0"/>
            <w:sz w:val="24"/>
            <w:szCs w:val="24"/>
            <w:u w:val="single"/>
            <w:lang w:eastAsia="en-GB"/>
            <w14:ligatures w14:val="none"/>
          </w:rPr>
          <w:t>https://doi.org/10.1002/smr.1984</w:t>
        </w:r>
      </w:hyperlink>
    </w:p>
    <w:p w14:paraId="28D69B3F" w14:textId="5DE0755E" w:rsidR="00352DBD" w:rsidRPr="00352DBD" w:rsidRDefault="00883950" w:rsidP="00AF485A">
      <w:pPr>
        <w:spacing w:before="100" w:beforeAutospacing="1" w:after="100" w:afterAutospacing="1" w:line="480" w:lineRule="auto"/>
        <w:rPr>
          <w:rFonts w:ascii="Arial" w:eastAsia="Times New Roman" w:hAnsi="Arial" w:cs="Arial"/>
          <w:kern w:val="0"/>
          <w:sz w:val="24"/>
          <w:szCs w:val="24"/>
          <w:lang w:eastAsia="en-GB"/>
          <w14:ligatures w14:val="none"/>
        </w:rPr>
      </w:pPr>
      <w:r w:rsidRPr="00352DBD">
        <w:rPr>
          <w:rFonts w:ascii="Arial" w:eastAsia="Times New Roman" w:hAnsi="Arial" w:cs="Arial"/>
          <w:kern w:val="0"/>
          <w:sz w:val="24"/>
          <w:szCs w:val="24"/>
          <w:lang w:eastAsia="en-GB"/>
          <w14:ligatures w14:val="none"/>
        </w:rPr>
        <w:t xml:space="preserve">Goleman, D. (1995). </w:t>
      </w:r>
      <w:r w:rsidRPr="00352DBD">
        <w:rPr>
          <w:rFonts w:ascii="Arial" w:eastAsia="Times New Roman" w:hAnsi="Arial" w:cs="Arial"/>
          <w:i/>
          <w:iCs/>
          <w:kern w:val="0"/>
          <w:sz w:val="24"/>
          <w:szCs w:val="24"/>
          <w:lang w:eastAsia="en-GB"/>
          <w14:ligatures w14:val="none"/>
        </w:rPr>
        <w:t>Emotional Intelligence</w:t>
      </w:r>
      <w:r w:rsidRPr="00352DBD">
        <w:rPr>
          <w:rFonts w:ascii="Arial" w:eastAsia="Times New Roman" w:hAnsi="Arial" w:cs="Arial"/>
          <w:kern w:val="0"/>
          <w:sz w:val="24"/>
          <w:szCs w:val="24"/>
          <w:lang w:eastAsia="en-GB"/>
          <w14:ligatures w14:val="none"/>
        </w:rPr>
        <w:t xml:space="preserve">. </w:t>
      </w:r>
      <w:r w:rsidR="001825B7">
        <w:rPr>
          <w:rFonts w:ascii="Arial" w:eastAsia="Times New Roman" w:hAnsi="Arial" w:cs="Arial"/>
          <w:kern w:val="0"/>
          <w:sz w:val="24"/>
          <w:szCs w:val="24"/>
          <w:lang w:eastAsia="en-GB"/>
          <w14:ligatures w14:val="none"/>
        </w:rPr>
        <w:t xml:space="preserve">New </w:t>
      </w:r>
      <w:r w:rsidR="0070415E">
        <w:rPr>
          <w:rFonts w:ascii="Arial" w:eastAsia="Times New Roman" w:hAnsi="Arial" w:cs="Arial"/>
          <w:kern w:val="0"/>
          <w:sz w:val="24"/>
          <w:szCs w:val="24"/>
          <w:lang w:eastAsia="en-GB"/>
          <w14:ligatures w14:val="none"/>
        </w:rPr>
        <w:t>York</w:t>
      </w:r>
      <w:r w:rsidR="003043C6">
        <w:rPr>
          <w:rFonts w:ascii="Arial" w:eastAsia="Times New Roman" w:hAnsi="Arial" w:cs="Arial"/>
          <w:kern w:val="0"/>
          <w:sz w:val="24"/>
          <w:szCs w:val="24"/>
          <w:lang w:eastAsia="en-GB"/>
          <w14:ligatures w14:val="none"/>
        </w:rPr>
        <w:t xml:space="preserve">: </w:t>
      </w:r>
      <w:r w:rsidRPr="00352DBD">
        <w:rPr>
          <w:rFonts w:ascii="Arial" w:eastAsia="Times New Roman" w:hAnsi="Arial" w:cs="Arial"/>
          <w:kern w:val="0"/>
          <w:sz w:val="24"/>
          <w:szCs w:val="24"/>
          <w:lang w:eastAsia="en-GB"/>
          <w14:ligatures w14:val="none"/>
        </w:rPr>
        <w:t>Bantam Books.</w:t>
      </w:r>
      <w:r w:rsidR="00DF25CA">
        <w:rPr>
          <w:rFonts w:ascii="Arial" w:eastAsia="Times New Roman" w:hAnsi="Arial" w:cs="Arial"/>
          <w:kern w:val="0"/>
          <w:sz w:val="24"/>
          <w:szCs w:val="24"/>
          <w:lang w:eastAsia="en-GB"/>
          <w14:ligatures w14:val="none"/>
        </w:rPr>
        <w:t xml:space="preserve"> Available from: </w:t>
      </w:r>
      <w:hyperlink r:id="rId9" w:history="1">
        <w:r w:rsidR="00DF25CA" w:rsidRPr="002C3B5C">
          <w:rPr>
            <w:rStyle w:val="Hyperlink"/>
            <w:rFonts w:ascii="Arial" w:eastAsia="Times New Roman" w:hAnsi="Arial" w:cs="Arial"/>
            <w:kern w:val="0"/>
            <w:sz w:val="24"/>
            <w:szCs w:val="24"/>
            <w:lang w:eastAsia="en-GB"/>
            <w14:ligatures w14:val="none"/>
          </w:rPr>
          <w:t>https://asantelim.wordpress.com/wp-content/uploads/2018/05/daniel-goleman-emotional-intelligence.pdf</w:t>
        </w:r>
      </w:hyperlink>
      <w:r w:rsidR="00DF25CA">
        <w:rPr>
          <w:rFonts w:ascii="Arial" w:eastAsia="Times New Roman" w:hAnsi="Arial" w:cs="Arial"/>
          <w:kern w:val="0"/>
          <w:sz w:val="24"/>
          <w:szCs w:val="24"/>
          <w:lang w:eastAsia="en-GB"/>
          <w14:ligatures w14:val="none"/>
        </w:rPr>
        <w:t xml:space="preserve"> [Accessed 19 July 2024].</w:t>
      </w:r>
    </w:p>
    <w:p w14:paraId="6ECB7E44" w14:textId="77777777" w:rsidR="00E1464C" w:rsidRDefault="00E1464C" w:rsidP="00E1464C">
      <w:pPr>
        <w:spacing w:line="480" w:lineRule="auto"/>
        <w:rPr>
          <w:rFonts w:ascii="Arial" w:hAnsi="Arial" w:cs="Arial"/>
          <w:b/>
          <w:sz w:val="24"/>
          <w:szCs w:val="24"/>
        </w:rPr>
      </w:pPr>
      <w:r w:rsidRPr="49AF97CB">
        <w:rPr>
          <w:rFonts w:ascii="Arial" w:hAnsi="Arial" w:cs="Arial"/>
          <w:sz w:val="24"/>
          <w:szCs w:val="24"/>
        </w:rPr>
        <w:t xml:space="preserve">ISO. (2023) ISO31000:2018 Risk Management Guidelines Second Edition. Available from: </w:t>
      </w:r>
      <w:hyperlink r:id="rId10">
        <w:r w:rsidRPr="49AF97CB">
          <w:rPr>
            <w:rStyle w:val="Hyperlink"/>
            <w:rFonts w:ascii="Arial" w:hAnsi="Arial" w:cs="Arial"/>
            <w:sz w:val="24"/>
            <w:szCs w:val="24"/>
          </w:rPr>
          <w:t>https://www.iso.org/standard/65694.html</w:t>
        </w:r>
      </w:hyperlink>
      <w:r w:rsidRPr="49AF97CB">
        <w:rPr>
          <w:rFonts w:ascii="Arial" w:hAnsi="Arial" w:cs="Arial"/>
          <w:sz w:val="24"/>
          <w:szCs w:val="24"/>
        </w:rPr>
        <w:t xml:space="preserve"> [Accessed 14 May 2024]</w:t>
      </w:r>
      <w:r>
        <w:rPr>
          <w:rFonts w:ascii="Arial" w:hAnsi="Arial" w:cs="Arial"/>
          <w:sz w:val="24"/>
          <w:szCs w:val="24"/>
        </w:rPr>
        <w:t>.</w:t>
      </w:r>
    </w:p>
    <w:p w14:paraId="6551FB94" w14:textId="0D351E92" w:rsidR="00352DBD" w:rsidRPr="00352DBD" w:rsidRDefault="00883950" w:rsidP="00AF485A">
      <w:pPr>
        <w:spacing w:before="100" w:beforeAutospacing="1" w:after="100" w:afterAutospacing="1" w:line="480" w:lineRule="auto"/>
        <w:rPr>
          <w:rFonts w:ascii="Arial" w:eastAsia="Times New Roman" w:hAnsi="Arial" w:cs="Arial"/>
          <w:kern w:val="0"/>
          <w:sz w:val="24"/>
          <w:szCs w:val="24"/>
          <w:lang w:eastAsia="en-GB"/>
          <w14:ligatures w14:val="none"/>
        </w:rPr>
      </w:pPr>
      <w:r w:rsidRPr="00352DBD">
        <w:rPr>
          <w:rFonts w:ascii="Arial" w:eastAsia="Times New Roman" w:hAnsi="Arial" w:cs="Arial"/>
          <w:kern w:val="0"/>
          <w:sz w:val="24"/>
          <w:szCs w:val="24"/>
          <w:lang w:eastAsia="en-GB"/>
          <w14:ligatures w14:val="none"/>
        </w:rPr>
        <w:t xml:space="preserve">Olson, L. D., &amp; Wu, D. (2020) </w:t>
      </w:r>
      <w:r w:rsidRPr="00352DBD">
        <w:rPr>
          <w:rFonts w:ascii="Arial" w:eastAsia="Times New Roman" w:hAnsi="Arial" w:cs="Arial"/>
          <w:i/>
          <w:iCs/>
          <w:kern w:val="0"/>
          <w:sz w:val="24"/>
          <w:szCs w:val="24"/>
          <w:lang w:eastAsia="en-GB"/>
          <w14:ligatures w14:val="none"/>
        </w:rPr>
        <w:t>Enterprise risk management models</w:t>
      </w:r>
      <w:r w:rsidRPr="00352DBD">
        <w:rPr>
          <w:rFonts w:ascii="Arial" w:eastAsia="Times New Roman" w:hAnsi="Arial" w:cs="Arial"/>
          <w:kern w:val="0"/>
          <w:sz w:val="24"/>
          <w:szCs w:val="24"/>
          <w:lang w:eastAsia="en-GB"/>
          <w14:ligatures w14:val="none"/>
        </w:rPr>
        <w:t xml:space="preserve"> (3rd ed.). Springer Nature. </w:t>
      </w:r>
      <w:hyperlink r:id="rId11" w:tgtFrame="_new" w:history="1">
        <w:r w:rsidRPr="00352DBD">
          <w:rPr>
            <w:rFonts w:ascii="Arial" w:eastAsia="Times New Roman" w:hAnsi="Arial" w:cs="Arial"/>
            <w:color w:val="0000FF"/>
            <w:kern w:val="0"/>
            <w:sz w:val="24"/>
            <w:szCs w:val="24"/>
            <w:u w:val="single"/>
            <w:lang w:eastAsia="en-GB"/>
            <w14:ligatures w14:val="none"/>
          </w:rPr>
          <w:t>https://doi.org/10.1007/978-3-662-60608-7_5</w:t>
        </w:r>
      </w:hyperlink>
    </w:p>
    <w:p w14:paraId="5E1DA13B" w14:textId="77777777" w:rsidR="00B74F2A" w:rsidRDefault="00B74F2A" w:rsidP="00B74F2A">
      <w:pPr>
        <w:spacing w:line="480" w:lineRule="auto"/>
        <w:rPr>
          <w:rFonts w:ascii="Arial" w:hAnsi="Arial" w:cs="Arial"/>
          <w:b/>
          <w:sz w:val="24"/>
          <w:szCs w:val="24"/>
          <w:shd w:val="clear" w:color="auto" w:fill="FFFFFF"/>
        </w:rPr>
      </w:pPr>
      <w:r w:rsidRPr="00E3634B">
        <w:rPr>
          <w:rFonts w:ascii="Arial" w:hAnsi="Arial" w:cs="Arial"/>
          <w:sz w:val="24"/>
          <w:szCs w:val="24"/>
          <w:shd w:val="clear" w:color="auto" w:fill="FFFFFF"/>
        </w:rPr>
        <w:t xml:space="preserve">Shevchenko, N., Chick, T. A., </w:t>
      </w:r>
      <w:proofErr w:type="spellStart"/>
      <w:r w:rsidRPr="00E3634B">
        <w:rPr>
          <w:rFonts w:ascii="Arial" w:hAnsi="Arial" w:cs="Arial"/>
          <w:sz w:val="24"/>
          <w:szCs w:val="24"/>
          <w:shd w:val="clear" w:color="auto" w:fill="FFFFFF"/>
        </w:rPr>
        <w:t>O'Riordan</w:t>
      </w:r>
      <w:proofErr w:type="spellEnd"/>
      <w:r w:rsidRPr="00E3634B">
        <w:rPr>
          <w:rFonts w:ascii="Arial" w:hAnsi="Arial" w:cs="Arial"/>
          <w:sz w:val="24"/>
          <w:szCs w:val="24"/>
          <w:shd w:val="clear" w:color="auto" w:fill="FFFFFF"/>
        </w:rPr>
        <w:t>, P., Scanlon, T. P. &amp; Woody, C. (2018) </w:t>
      </w:r>
      <w:r w:rsidRPr="00E3634B">
        <w:rPr>
          <w:rStyle w:val="Emphasis"/>
          <w:rFonts w:ascii="Arial" w:hAnsi="Arial" w:cs="Arial"/>
          <w:sz w:val="24"/>
          <w:szCs w:val="24"/>
          <w:shd w:val="clear" w:color="auto" w:fill="FFFFFF"/>
        </w:rPr>
        <w:t>Threat modelling: a summary of available methods.</w:t>
      </w:r>
      <w:r>
        <w:rPr>
          <w:rFonts w:ascii="Arial" w:hAnsi="Arial" w:cs="Arial"/>
          <w:sz w:val="24"/>
          <w:szCs w:val="24"/>
          <w:shd w:val="clear" w:color="auto" w:fill="FFFFFF"/>
        </w:rPr>
        <w:t xml:space="preserve"> Available from: </w:t>
      </w:r>
      <w:hyperlink r:id="rId12" w:history="1">
        <w:r w:rsidRPr="00F8027A">
          <w:rPr>
            <w:rStyle w:val="Hyperlink"/>
            <w:rFonts w:ascii="Arial" w:hAnsi="Arial" w:cs="Arial"/>
            <w:sz w:val="24"/>
            <w:szCs w:val="24"/>
            <w:shd w:val="clear" w:color="auto" w:fill="FFFFFF"/>
          </w:rPr>
          <w:t>https://apps.dtic.mil/sti/pdfs/AD1084024.pdf</w:t>
        </w:r>
      </w:hyperlink>
      <w:r>
        <w:rPr>
          <w:rFonts w:ascii="Arial" w:hAnsi="Arial" w:cs="Arial"/>
          <w:sz w:val="24"/>
          <w:szCs w:val="24"/>
          <w:shd w:val="clear" w:color="auto" w:fill="FFFFFF"/>
        </w:rPr>
        <w:t xml:space="preserve"> [Accessed 25 May 2024].</w:t>
      </w:r>
    </w:p>
    <w:p w14:paraId="598A1168" w14:textId="77777777" w:rsidR="00AF3165" w:rsidRDefault="00AF3165" w:rsidP="00AF3165">
      <w:pPr>
        <w:spacing w:line="480" w:lineRule="auto"/>
        <w:rPr>
          <w:rFonts w:ascii="Arial" w:eastAsia="Arial" w:hAnsi="Arial" w:cs="Arial"/>
          <w:b/>
          <w:sz w:val="24"/>
          <w:szCs w:val="24"/>
        </w:rPr>
      </w:pPr>
      <w:proofErr w:type="spellStart"/>
      <w:r w:rsidRPr="49AF97CB">
        <w:rPr>
          <w:rFonts w:ascii="Arial" w:eastAsia="Arial" w:hAnsi="Arial" w:cs="Arial"/>
          <w:sz w:val="24"/>
          <w:szCs w:val="24"/>
        </w:rPr>
        <w:t>Shostack</w:t>
      </w:r>
      <w:proofErr w:type="spellEnd"/>
      <w:r w:rsidRPr="49AF97CB">
        <w:rPr>
          <w:rFonts w:ascii="Arial" w:eastAsia="Arial" w:hAnsi="Arial" w:cs="Arial"/>
          <w:sz w:val="24"/>
          <w:szCs w:val="24"/>
        </w:rPr>
        <w:t>, A. (2014)</w:t>
      </w:r>
      <w:r w:rsidRPr="49AF97CB">
        <w:rPr>
          <w:rFonts w:ascii="Arial" w:eastAsia="Arial" w:hAnsi="Arial" w:cs="Arial"/>
          <w:i/>
          <w:iCs/>
          <w:sz w:val="24"/>
          <w:szCs w:val="24"/>
        </w:rPr>
        <w:t xml:space="preserve"> Threat </w:t>
      </w:r>
      <w:proofErr w:type="spellStart"/>
      <w:r w:rsidRPr="49AF97CB">
        <w:rPr>
          <w:rFonts w:ascii="Arial" w:eastAsia="Arial" w:hAnsi="Arial" w:cs="Arial"/>
          <w:i/>
          <w:iCs/>
          <w:sz w:val="24"/>
          <w:szCs w:val="24"/>
        </w:rPr>
        <w:t>Modeling</w:t>
      </w:r>
      <w:proofErr w:type="spellEnd"/>
      <w:r w:rsidRPr="49AF97CB">
        <w:rPr>
          <w:rFonts w:ascii="Arial" w:eastAsia="Arial" w:hAnsi="Arial" w:cs="Arial"/>
          <w:i/>
          <w:iCs/>
          <w:sz w:val="24"/>
          <w:szCs w:val="24"/>
        </w:rPr>
        <w:t xml:space="preserve">: Designing for Security. ProQuest </w:t>
      </w:r>
      <w:proofErr w:type="spellStart"/>
      <w:r w:rsidRPr="49AF97CB">
        <w:rPr>
          <w:rFonts w:ascii="Arial" w:eastAsia="Arial" w:hAnsi="Arial" w:cs="Arial"/>
          <w:i/>
          <w:iCs/>
          <w:sz w:val="24"/>
          <w:szCs w:val="24"/>
        </w:rPr>
        <w:t>Ebook</w:t>
      </w:r>
      <w:proofErr w:type="spellEnd"/>
      <w:r w:rsidRPr="49AF97CB">
        <w:rPr>
          <w:rFonts w:ascii="Arial" w:eastAsia="Arial" w:hAnsi="Arial" w:cs="Arial"/>
          <w:i/>
          <w:iCs/>
          <w:sz w:val="24"/>
          <w:szCs w:val="24"/>
        </w:rPr>
        <w:t xml:space="preserve"> Central: </w:t>
      </w:r>
      <w:r w:rsidRPr="49AF97CB">
        <w:rPr>
          <w:rFonts w:ascii="Arial" w:eastAsia="Arial" w:hAnsi="Arial" w:cs="Arial"/>
          <w:sz w:val="24"/>
          <w:szCs w:val="24"/>
        </w:rPr>
        <w:t>John Wiley &amp; Sons, Incorporated.</w:t>
      </w:r>
      <w:r w:rsidRPr="49AF97CB">
        <w:rPr>
          <w:rFonts w:ascii="Arial" w:eastAsia="Arial" w:hAnsi="Arial" w:cs="Arial"/>
          <w:i/>
          <w:iCs/>
          <w:sz w:val="24"/>
          <w:szCs w:val="24"/>
        </w:rPr>
        <w:t xml:space="preserve"> </w:t>
      </w:r>
      <w:r w:rsidRPr="49AF97CB">
        <w:rPr>
          <w:rFonts w:ascii="Arial" w:eastAsia="Arial" w:hAnsi="Arial" w:cs="Arial"/>
          <w:sz w:val="24"/>
          <w:szCs w:val="24"/>
        </w:rPr>
        <w:t xml:space="preserve">Available from: </w:t>
      </w:r>
      <w:hyperlink r:id="rId13">
        <w:r w:rsidRPr="49AF97CB">
          <w:rPr>
            <w:rStyle w:val="Hyperlink"/>
            <w:rFonts w:ascii="Arial" w:eastAsia="Arial" w:hAnsi="Arial" w:cs="Arial"/>
            <w:sz w:val="24"/>
            <w:szCs w:val="24"/>
          </w:rPr>
          <w:t>https://ebookcentral.proquest.com/lib/universityofessex-ebooks/detail.action?docID=1629177</w:t>
        </w:r>
      </w:hyperlink>
      <w:r w:rsidRPr="49AF97CB">
        <w:rPr>
          <w:rFonts w:ascii="Arial" w:eastAsia="Arial" w:hAnsi="Arial" w:cs="Arial"/>
          <w:sz w:val="24"/>
          <w:szCs w:val="24"/>
        </w:rPr>
        <w:t xml:space="preserve"> [Accessed 25 May 2024]. </w:t>
      </w:r>
    </w:p>
    <w:p w14:paraId="0C47BEA4" w14:textId="08013AC6" w:rsidR="00352DBD" w:rsidRPr="00352DBD" w:rsidRDefault="006A09D6" w:rsidP="00AF485A">
      <w:pPr>
        <w:spacing w:before="100" w:beforeAutospacing="1" w:after="100" w:afterAutospacing="1" w:line="480" w:lineRule="auto"/>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 xml:space="preserve">Paredes, B.M. &amp; Watts, K. </w:t>
      </w:r>
      <w:r w:rsidR="00883950" w:rsidRPr="00352DBD">
        <w:rPr>
          <w:rFonts w:ascii="Arial" w:eastAsia="Times New Roman" w:hAnsi="Arial" w:cs="Arial"/>
          <w:kern w:val="0"/>
          <w:sz w:val="24"/>
          <w:szCs w:val="24"/>
          <w:lang w:eastAsia="en-GB"/>
          <w14:ligatures w14:val="none"/>
        </w:rPr>
        <w:t>(2024) Cyber Risk Rangers Team Contract.</w:t>
      </w:r>
    </w:p>
    <w:p w14:paraId="7E4E8087" w14:textId="6B71BCD5" w:rsidR="00E300C6" w:rsidRDefault="00D83B9B" w:rsidP="004D2DD3">
      <w:pPr>
        <w:spacing w:line="480" w:lineRule="auto"/>
        <w:rPr>
          <w:rFonts w:ascii="Arial" w:eastAsia="Arial" w:hAnsi="Arial" w:cs="Arial"/>
          <w:sz w:val="24"/>
          <w:szCs w:val="24"/>
        </w:rPr>
      </w:pPr>
      <w:r w:rsidRPr="49AF97CB">
        <w:rPr>
          <w:rFonts w:ascii="Arial" w:eastAsia="Arial" w:hAnsi="Arial" w:cs="Arial"/>
          <w:sz w:val="24"/>
          <w:szCs w:val="24"/>
        </w:rPr>
        <w:lastRenderedPageBreak/>
        <w:t xml:space="preserve">Wang, J., Neil, M. &amp; Fenton, N. (2019) A Bayesian network approach for cybersecurity risk assessment implementing and extending the FAIR model. </w:t>
      </w:r>
      <w:r w:rsidRPr="49AF97CB">
        <w:rPr>
          <w:rFonts w:ascii="Arial" w:eastAsia="Arial" w:hAnsi="Arial" w:cs="Arial"/>
          <w:i/>
          <w:iCs/>
          <w:sz w:val="24"/>
          <w:szCs w:val="24"/>
        </w:rPr>
        <w:t xml:space="preserve">Computers &amp; Security. </w:t>
      </w:r>
      <w:r w:rsidRPr="49AF97CB">
        <w:rPr>
          <w:rFonts w:ascii="Arial" w:eastAsia="Arial" w:hAnsi="Arial" w:cs="Arial"/>
          <w:sz w:val="24"/>
          <w:szCs w:val="24"/>
        </w:rPr>
        <w:t>89:</w:t>
      </w:r>
      <w:r w:rsidRPr="49AF97CB">
        <w:rPr>
          <w:rFonts w:ascii="Arial" w:eastAsia="Arial" w:hAnsi="Arial" w:cs="Arial"/>
          <w:i/>
          <w:iCs/>
          <w:sz w:val="24"/>
          <w:szCs w:val="24"/>
        </w:rPr>
        <w:t xml:space="preserve"> </w:t>
      </w:r>
      <w:r w:rsidRPr="49AF97CB">
        <w:rPr>
          <w:rFonts w:ascii="Arial" w:eastAsia="Arial" w:hAnsi="Arial" w:cs="Arial"/>
          <w:sz w:val="24"/>
          <w:szCs w:val="24"/>
        </w:rPr>
        <w:t xml:space="preserve">1-20. DOI: </w:t>
      </w:r>
      <w:hyperlink r:id="rId14">
        <w:r w:rsidRPr="49AF97CB">
          <w:rPr>
            <w:rStyle w:val="Hyperlink"/>
            <w:rFonts w:ascii="Arial" w:eastAsia="Arial" w:hAnsi="Arial" w:cs="Arial"/>
            <w:sz w:val="24"/>
            <w:szCs w:val="24"/>
          </w:rPr>
          <w:t>https://doi.org/10.1016/j.cose.2019.101659</w:t>
        </w:r>
      </w:hyperlink>
      <w:r w:rsidRPr="49AF97CB">
        <w:rPr>
          <w:rFonts w:ascii="Arial" w:eastAsia="Arial" w:hAnsi="Arial" w:cs="Arial"/>
          <w:sz w:val="24"/>
          <w:szCs w:val="24"/>
        </w:rPr>
        <w:t xml:space="preserve"> </w:t>
      </w:r>
    </w:p>
    <w:p w14:paraId="2B29803C" w14:textId="065556C3" w:rsidR="00CF725B" w:rsidRPr="00CF725B" w:rsidRDefault="00CF725B" w:rsidP="00CF725B">
      <w:pPr>
        <w:spacing w:before="100" w:beforeAutospacing="1" w:after="100" w:afterAutospacing="1" w:line="480" w:lineRule="auto"/>
        <w:rPr>
          <w:rFonts w:ascii="Arial" w:eastAsia="Times New Roman" w:hAnsi="Arial" w:cs="Arial"/>
          <w:kern w:val="0"/>
          <w:sz w:val="24"/>
          <w:szCs w:val="24"/>
          <w:lang w:eastAsia="en-GB"/>
          <w14:ligatures w14:val="none"/>
        </w:rPr>
      </w:pPr>
      <w:r>
        <w:rPr>
          <w:rFonts w:ascii="Arial" w:eastAsia="Times New Roman" w:hAnsi="Arial" w:cs="Arial"/>
          <w:kern w:val="0"/>
          <w:sz w:val="24"/>
          <w:szCs w:val="24"/>
          <w:lang w:eastAsia="en-GB"/>
          <w14:ligatures w14:val="none"/>
        </w:rPr>
        <w:t>Watts, K. (2024)</w:t>
      </w:r>
      <w:r w:rsidRPr="00352DBD">
        <w:rPr>
          <w:rFonts w:ascii="Arial" w:eastAsia="Times New Roman" w:hAnsi="Arial" w:cs="Arial"/>
          <w:kern w:val="0"/>
          <w:sz w:val="24"/>
          <w:szCs w:val="24"/>
          <w:lang w:eastAsia="en-GB"/>
          <w14:ligatures w14:val="none"/>
        </w:rPr>
        <w:t>. Peer evaluation template.</w:t>
      </w:r>
    </w:p>
    <w:sectPr w:rsidR="00CF725B" w:rsidRPr="00CF725B">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64201" w14:textId="77777777" w:rsidR="00B70718" w:rsidRDefault="00B70718" w:rsidP="00B70718">
      <w:pPr>
        <w:spacing w:after="0" w:line="240" w:lineRule="auto"/>
      </w:pPr>
      <w:r>
        <w:separator/>
      </w:r>
    </w:p>
  </w:endnote>
  <w:endnote w:type="continuationSeparator" w:id="0">
    <w:p w14:paraId="06F8885F" w14:textId="77777777" w:rsidR="00B70718" w:rsidRDefault="00B70718" w:rsidP="00B707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24"/>
        <w:szCs w:val="24"/>
      </w:rPr>
      <w:id w:val="680784086"/>
      <w:docPartObj>
        <w:docPartGallery w:val="Page Numbers (Bottom of Page)"/>
        <w:docPartUnique/>
      </w:docPartObj>
    </w:sdtPr>
    <w:sdtEndPr>
      <w:rPr>
        <w:spacing w:val="60"/>
      </w:rPr>
    </w:sdtEndPr>
    <w:sdtContent>
      <w:p w14:paraId="01345271" w14:textId="1BF4AAD3" w:rsidR="008702F7" w:rsidRPr="00AF485A" w:rsidRDefault="008702F7">
        <w:pPr>
          <w:pStyle w:val="Footer"/>
          <w:pBdr>
            <w:top w:val="single" w:sz="4" w:space="1" w:color="D9D9D9" w:themeColor="background1" w:themeShade="D9"/>
          </w:pBdr>
          <w:jc w:val="right"/>
          <w:rPr>
            <w:rFonts w:ascii="Arial" w:hAnsi="Arial" w:cs="Arial"/>
            <w:sz w:val="24"/>
            <w:szCs w:val="24"/>
          </w:rPr>
        </w:pPr>
        <w:r w:rsidRPr="00AF485A">
          <w:rPr>
            <w:rFonts w:ascii="Arial" w:hAnsi="Arial" w:cs="Arial"/>
            <w:sz w:val="24"/>
            <w:szCs w:val="24"/>
          </w:rPr>
          <w:fldChar w:fldCharType="begin"/>
        </w:r>
        <w:r w:rsidRPr="00AF485A">
          <w:rPr>
            <w:rFonts w:ascii="Arial" w:hAnsi="Arial" w:cs="Arial"/>
            <w:sz w:val="24"/>
            <w:szCs w:val="24"/>
          </w:rPr>
          <w:instrText xml:space="preserve"> PAGE   \* MERGEFORMAT </w:instrText>
        </w:r>
        <w:r w:rsidRPr="00AF485A">
          <w:rPr>
            <w:rFonts w:ascii="Arial" w:hAnsi="Arial" w:cs="Arial"/>
            <w:sz w:val="24"/>
            <w:szCs w:val="24"/>
          </w:rPr>
          <w:fldChar w:fldCharType="separate"/>
        </w:r>
        <w:r w:rsidRPr="00AF485A">
          <w:rPr>
            <w:rFonts w:ascii="Arial" w:hAnsi="Arial" w:cs="Arial"/>
            <w:noProof/>
            <w:sz w:val="24"/>
            <w:szCs w:val="24"/>
          </w:rPr>
          <w:t>2</w:t>
        </w:r>
        <w:r w:rsidRPr="00AF485A">
          <w:rPr>
            <w:rFonts w:ascii="Arial" w:hAnsi="Arial" w:cs="Arial"/>
            <w:noProof/>
            <w:sz w:val="24"/>
            <w:szCs w:val="24"/>
          </w:rPr>
          <w:fldChar w:fldCharType="end"/>
        </w:r>
        <w:r w:rsidRPr="00AF485A">
          <w:rPr>
            <w:rFonts w:ascii="Arial" w:hAnsi="Arial" w:cs="Arial"/>
            <w:sz w:val="24"/>
            <w:szCs w:val="24"/>
          </w:rPr>
          <w:t xml:space="preserve"> | </w:t>
        </w:r>
        <w:r w:rsidRPr="00AF485A">
          <w:rPr>
            <w:rFonts w:ascii="Arial" w:hAnsi="Arial" w:cs="Arial"/>
            <w:spacing w:val="60"/>
            <w:sz w:val="24"/>
            <w:szCs w:val="24"/>
          </w:rPr>
          <w:t>Page</w:t>
        </w:r>
      </w:p>
    </w:sdtContent>
  </w:sdt>
  <w:p w14:paraId="1906F046" w14:textId="77777777" w:rsidR="008702F7" w:rsidRDefault="008702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050CF" w14:textId="77777777" w:rsidR="00B70718" w:rsidRDefault="00B70718" w:rsidP="00B70718">
      <w:pPr>
        <w:spacing w:after="0" w:line="240" w:lineRule="auto"/>
      </w:pPr>
      <w:r>
        <w:separator/>
      </w:r>
    </w:p>
  </w:footnote>
  <w:footnote w:type="continuationSeparator" w:id="0">
    <w:p w14:paraId="41B703A3" w14:textId="77777777" w:rsidR="00B70718" w:rsidRDefault="00B70718" w:rsidP="00B707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7C831" w14:textId="25FD2ABF" w:rsidR="00B70718" w:rsidRDefault="00B70718">
    <w:pPr>
      <w:pStyle w:val="Header"/>
    </w:pPr>
  </w:p>
  <w:p w14:paraId="177788E9" w14:textId="77777777" w:rsidR="00B70718" w:rsidRDefault="00B707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B10E3"/>
    <w:multiLevelType w:val="multilevel"/>
    <w:tmpl w:val="EE3E7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24FC7"/>
    <w:multiLevelType w:val="multilevel"/>
    <w:tmpl w:val="A488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0B0533"/>
    <w:multiLevelType w:val="multilevel"/>
    <w:tmpl w:val="400A2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8410017">
    <w:abstractNumId w:val="1"/>
  </w:num>
  <w:num w:numId="2" w16cid:durableId="735204085">
    <w:abstractNumId w:val="0"/>
  </w:num>
  <w:num w:numId="3" w16cid:durableId="3621744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5E7"/>
    <w:rsid w:val="0000586A"/>
    <w:rsid w:val="000B4E2F"/>
    <w:rsid w:val="000F701D"/>
    <w:rsid w:val="001825B7"/>
    <w:rsid w:val="002113F9"/>
    <w:rsid w:val="002B4A1E"/>
    <w:rsid w:val="002C25E7"/>
    <w:rsid w:val="0030288B"/>
    <w:rsid w:val="003043C6"/>
    <w:rsid w:val="00352DBD"/>
    <w:rsid w:val="00387145"/>
    <w:rsid w:val="004302D5"/>
    <w:rsid w:val="00446809"/>
    <w:rsid w:val="004D2DD3"/>
    <w:rsid w:val="0050079E"/>
    <w:rsid w:val="005941A0"/>
    <w:rsid w:val="006A09D6"/>
    <w:rsid w:val="0070415E"/>
    <w:rsid w:val="00744353"/>
    <w:rsid w:val="00744C38"/>
    <w:rsid w:val="00767577"/>
    <w:rsid w:val="00845991"/>
    <w:rsid w:val="008702F7"/>
    <w:rsid w:val="00883950"/>
    <w:rsid w:val="00890A86"/>
    <w:rsid w:val="009237F9"/>
    <w:rsid w:val="00970C42"/>
    <w:rsid w:val="009B3BD7"/>
    <w:rsid w:val="009C0460"/>
    <w:rsid w:val="009E0D73"/>
    <w:rsid w:val="00A701BD"/>
    <w:rsid w:val="00AF3165"/>
    <w:rsid w:val="00AF485A"/>
    <w:rsid w:val="00B70718"/>
    <w:rsid w:val="00B74F2A"/>
    <w:rsid w:val="00B92D73"/>
    <w:rsid w:val="00BA719A"/>
    <w:rsid w:val="00C06AFD"/>
    <w:rsid w:val="00C30A55"/>
    <w:rsid w:val="00C3678F"/>
    <w:rsid w:val="00C90218"/>
    <w:rsid w:val="00CF725B"/>
    <w:rsid w:val="00D83B9B"/>
    <w:rsid w:val="00DA60E3"/>
    <w:rsid w:val="00DD4582"/>
    <w:rsid w:val="00DF25CA"/>
    <w:rsid w:val="00E1464C"/>
    <w:rsid w:val="00E279E0"/>
    <w:rsid w:val="00E300C6"/>
    <w:rsid w:val="00F150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6B7E2"/>
  <w15:chartTrackingRefBased/>
  <w15:docId w15:val="{4E0AD295-F08C-45D0-8137-DAFD465C8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C25E7"/>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paragraph" w:styleId="Heading4">
    <w:name w:val="heading 4"/>
    <w:basedOn w:val="Normal"/>
    <w:link w:val="Heading4Char"/>
    <w:uiPriority w:val="9"/>
    <w:qFormat/>
    <w:rsid w:val="002C25E7"/>
    <w:pPr>
      <w:spacing w:before="100" w:beforeAutospacing="1" w:after="100" w:afterAutospacing="1" w:line="240" w:lineRule="auto"/>
      <w:outlineLvl w:val="3"/>
    </w:pPr>
    <w:rPr>
      <w:rFonts w:ascii="Times New Roman" w:eastAsia="Times New Roman" w:hAnsi="Times New Roman" w:cs="Times New Roman"/>
      <w:b/>
      <w:bCs/>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25E7"/>
    <w:rPr>
      <w:rFonts w:ascii="Times New Roman" w:eastAsia="Times New Roman" w:hAnsi="Times New Roman" w:cs="Times New Roman"/>
      <w:b/>
      <w:bCs/>
      <w:kern w:val="0"/>
      <w:sz w:val="27"/>
      <w:szCs w:val="27"/>
      <w:lang w:eastAsia="en-GB"/>
      <w14:ligatures w14:val="none"/>
    </w:rPr>
  </w:style>
  <w:style w:type="character" w:customStyle="1" w:styleId="Heading4Char">
    <w:name w:val="Heading 4 Char"/>
    <w:basedOn w:val="DefaultParagraphFont"/>
    <w:link w:val="Heading4"/>
    <w:uiPriority w:val="9"/>
    <w:rsid w:val="002C25E7"/>
    <w:rPr>
      <w:rFonts w:ascii="Times New Roman" w:eastAsia="Times New Roman" w:hAnsi="Times New Roman" w:cs="Times New Roman"/>
      <w:b/>
      <w:bCs/>
      <w:kern w:val="0"/>
      <w:sz w:val="24"/>
      <w:szCs w:val="24"/>
      <w:lang w:eastAsia="en-GB"/>
      <w14:ligatures w14:val="none"/>
    </w:rPr>
  </w:style>
  <w:style w:type="paragraph" w:styleId="NormalWeb">
    <w:name w:val="Normal (Web)"/>
    <w:basedOn w:val="Normal"/>
    <w:uiPriority w:val="99"/>
    <w:semiHidden/>
    <w:unhideWhenUsed/>
    <w:rsid w:val="002C25E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2C25E7"/>
    <w:rPr>
      <w:b/>
      <w:bCs/>
    </w:rPr>
  </w:style>
  <w:style w:type="character" w:styleId="Emphasis">
    <w:name w:val="Emphasis"/>
    <w:basedOn w:val="DefaultParagraphFont"/>
    <w:uiPriority w:val="20"/>
    <w:qFormat/>
    <w:rsid w:val="00DD4582"/>
    <w:rPr>
      <w:i/>
      <w:iCs/>
    </w:rPr>
  </w:style>
  <w:style w:type="character" w:styleId="Hyperlink">
    <w:name w:val="Hyperlink"/>
    <w:basedOn w:val="DefaultParagraphFont"/>
    <w:uiPriority w:val="99"/>
    <w:unhideWhenUsed/>
    <w:rsid w:val="00DD4582"/>
    <w:rPr>
      <w:color w:val="0000FF"/>
      <w:u w:val="single"/>
    </w:rPr>
  </w:style>
  <w:style w:type="paragraph" w:styleId="Header">
    <w:name w:val="header"/>
    <w:basedOn w:val="Normal"/>
    <w:link w:val="HeaderChar"/>
    <w:uiPriority w:val="99"/>
    <w:unhideWhenUsed/>
    <w:rsid w:val="00B707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0718"/>
  </w:style>
  <w:style w:type="paragraph" w:styleId="Footer">
    <w:name w:val="footer"/>
    <w:basedOn w:val="Normal"/>
    <w:link w:val="FooterChar"/>
    <w:uiPriority w:val="99"/>
    <w:unhideWhenUsed/>
    <w:rsid w:val="00B707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0718"/>
  </w:style>
  <w:style w:type="character" w:styleId="UnresolvedMention">
    <w:name w:val="Unresolved Mention"/>
    <w:basedOn w:val="DefaultParagraphFont"/>
    <w:uiPriority w:val="99"/>
    <w:semiHidden/>
    <w:unhideWhenUsed/>
    <w:rsid w:val="00DA60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2/smr.1984" TargetMode="External"/><Relationship Id="rId13" Type="http://schemas.openxmlformats.org/officeDocument/2006/relationships/hyperlink" Target="https://ebookcentral.proquest.com/lib/universityofessex-ebooks/detail.action?docID=1629177"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kaylie89.github.io/index.html" TargetMode="External"/><Relationship Id="rId12" Type="http://schemas.openxmlformats.org/officeDocument/2006/relationships/hyperlink" Target="https://apps.dtic.mil/sti/pdfs/AD1084024.pd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07/978-3-662-60608-7_5"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iso.org/standard/65694.html" TargetMode="External"/><Relationship Id="rId4" Type="http://schemas.openxmlformats.org/officeDocument/2006/relationships/webSettings" Target="webSettings.xml"/><Relationship Id="rId9" Type="http://schemas.openxmlformats.org/officeDocument/2006/relationships/hyperlink" Target="https://asantelim.wordpress.com/wp-content/uploads/2018/05/daniel-goleman-emotional-intelligence.pdf" TargetMode="External"/><Relationship Id="rId14" Type="http://schemas.openxmlformats.org/officeDocument/2006/relationships/hyperlink" Target="https://doi.org/10.1016/j.cose.2019.10165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194</TotalTime>
  <Pages>8</Pages>
  <Words>1519</Words>
  <Characters>8661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Kaylie Watts</dc:creator>
  <cp:lastModifiedBy>Kaylie Watts</cp:lastModifiedBy>
  <cp:revision>47</cp:revision>
  <dcterms:created xsi:type="dcterms:W3CDTF">2024-07-19T21:11:00Z</dcterms:created>
  <dcterms:modified xsi:type="dcterms:W3CDTF">2024-07-20T19:47:00Z</dcterms:modified>
</cp:coreProperties>
</file>